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Regulamento do Concurso de Curtas-metragens dos Amigos do Chapim – 2026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Capítulo I – Disposições Gerais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1.º –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Sugestão: “O presente concurso tem em vista a atribuição de prémio monetário de 1000€ destinado à produção de uma curta-metragem original. Pretende-se, desta forma: promover a produção artística de obras originais em Portugal; promover a disseminação cultural cinemática; apoiar o desenvolvimento de jovens artistas.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2.º – Entidade organizadora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O concurso é organizado pela associação sem fins lucrativos - Associação Amigos do Chapim, que é responsável pela criação do concurso, elaboração do presente regulamento, avaliação das candidaturas e atribuição do prémio monetário.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3.º – Critérios de elegibilidade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Podem concorrer jovens com até </w:t>
      </w:r>
      <w:r w:rsidDel="00000000" w:rsidR="00000000" w:rsidRPr="00000000">
        <w:rPr>
          <w:rFonts w:ascii="Arial" w:cs="Arial" w:eastAsia="Arial" w:hAnsi="Arial"/>
          <w:rtl w:val="0"/>
        </w:rPr>
        <w:t xml:space="preserve">35 anos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pessoa ou grupo pode submeter apenas uma candidatura.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candidato tem residência em Portugal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4.º – Critérios obrigatórios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créditos da curta devem incluir obrigatoriamente: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Logo da Associação Amigos do Chapim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de todos os financiadores do projeto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duração máxima da curta-metragem deverá ser 30 minutos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Capítulo II – Candidaturas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5.º – Estrutura do concurso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O concurso terá duas fases, sendo a primeira de seleção inicial e a segunda de seleção final.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6.º – Fase 1 – Seleção inicial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rtl w:val="0"/>
        </w:rPr>
        <w:t xml:space="preserve"> 15 de maio a 30 de junho de 2026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0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candidato: Nome, Idade, Email, Contacto telefónico, CV e Carta de motivação (1–2 páginas);</w:t>
      </w:r>
    </w:p>
    <w:p w:rsidR="00000000" w:rsidDel="00000000" w:rsidP="00000000" w:rsidRDefault="00000000" w:rsidRPr="00000000" w14:paraId="00000017">
      <w:pPr>
        <w:numPr>
          <w:ilvl w:val="1"/>
          <w:numId w:val="10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 PDF contendo dados da componente artística: Sinopse, plot points principais, argumento resumido e descrição das ideias visuais pretendidas.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candidatos selecionados nesta fase passam à Fase 2.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7.º – Fase 2 – Seleção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 de entrega de requisitos da fase 2:</w:t>
      </w:r>
      <w:r w:rsidDel="00000000" w:rsidR="00000000" w:rsidRPr="00000000">
        <w:rPr>
          <w:rFonts w:ascii="Arial" w:cs="Arial" w:eastAsia="Arial" w:hAnsi="Arial"/>
          <w:rtl w:val="0"/>
        </w:rPr>
        <w:t xml:space="preserve"> 16 a 31 de julho de 2026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Entrevista online com o júri: </w:t>
      </w:r>
      <w:r w:rsidDel="00000000" w:rsidR="00000000" w:rsidRPr="00000000">
        <w:rPr>
          <w:rFonts w:ascii="Arial" w:cs="Arial" w:eastAsia="Arial" w:hAnsi="Arial"/>
          <w:rtl w:val="0"/>
        </w:rPr>
        <w:t xml:space="preserve">1 a 15 de agosto de 2026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Seleção da curta final:</w:t>
      </w:r>
      <w:r w:rsidDel="00000000" w:rsidR="00000000" w:rsidRPr="00000000">
        <w:rPr>
          <w:rFonts w:ascii="Arial" w:cs="Arial" w:eastAsia="Arial" w:hAnsi="Arial"/>
          <w:rtl w:val="0"/>
        </w:rPr>
        <w:t xml:space="preserve"> 16 a 31 de agosto de 2026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 de produção:</w:t>
      </w:r>
      <w:r w:rsidDel="00000000" w:rsidR="00000000" w:rsidRPr="00000000">
        <w:rPr>
          <w:rFonts w:ascii="Arial" w:cs="Arial" w:eastAsia="Arial" w:hAnsi="Arial"/>
          <w:rtl w:val="0"/>
        </w:rPr>
        <w:t xml:space="preserve"> 1 de setembro a 15 de dezembro de 2026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Plano de produção detalhado, incluindo:</w:t>
      </w:r>
    </w:p>
    <w:p w:rsidR="00000000" w:rsidDel="00000000" w:rsidP="00000000" w:rsidRDefault="00000000" w:rsidRPr="00000000" w14:paraId="00000020">
      <w:pPr>
        <w:numPr>
          <w:ilvl w:val="2"/>
          <w:numId w:val="11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Listagem do material a utilizar</w:t>
      </w:r>
    </w:p>
    <w:p w:rsidR="00000000" w:rsidDel="00000000" w:rsidP="00000000" w:rsidRDefault="00000000" w:rsidRPr="00000000" w14:paraId="00000021">
      <w:pPr>
        <w:numPr>
          <w:ilvl w:val="2"/>
          <w:numId w:val="11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Orçamento de utilização do prémio de 1000€</w:t>
      </w:r>
    </w:p>
    <w:p w:rsidR="00000000" w:rsidDel="00000000" w:rsidP="00000000" w:rsidRDefault="00000000" w:rsidRPr="00000000" w14:paraId="00000022">
      <w:pPr>
        <w:numPr>
          <w:ilvl w:val="2"/>
          <w:numId w:val="11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Calendário de produção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Capítulo III – Júri e Avaliação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8.º – Composição do júri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14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júri da fase 1 é composto por sócios da Associação Amigos do Chapim.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júri da fase 2 é composto por três parcelas, com igual ponderação de 33,33% cada: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Parcela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ública: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todos os apoiantes da Associação Amigos do Chapim - nível Amigo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Parcela interna:</w:t>
      </w:r>
      <w:r w:rsidDel="00000000" w:rsidR="00000000" w:rsidRPr="00000000">
        <w:rPr>
          <w:rFonts w:ascii="Arial" w:cs="Arial" w:eastAsia="Arial" w:hAnsi="Arial"/>
          <w:rtl w:val="0"/>
        </w:rPr>
        <w:t xml:space="preserve"> sócios da Associação Amigos do Chapim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Parcela de especialistas externos:</w:t>
      </w:r>
      <w:r w:rsidDel="00000000" w:rsidR="00000000" w:rsidRPr="00000000">
        <w:rPr>
          <w:rFonts w:ascii="Arial" w:cs="Arial" w:eastAsia="Arial" w:hAnsi="Arial"/>
          <w:rtl w:val="0"/>
        </w:rPr>
        <w:t xml:space="preserve"> especialistas em cinema convidados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9.º – Critérios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Qualidade artística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Originalidade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Clareza, estrutura e qualidade do argumento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Visão estética e qualidade da execução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Viabilidade orçamental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Motivação do candidato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10.º – Sistema de votação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Utiliza-se Ranked-Choice Voting (voto por ordem de preferência).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jurado elabora uma lista ordenada de candidatos, do favorito ao menos preferido.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nenhum candidato atingir a maioria absoluta, o(s) candidato(s) com menos votos é(ão) eliminado(s) e os seus votos são redistribuídos para a segunda escolha dos jurados cuja primeira escolha foi eliminada. O processo repete-se até que um candidato alcance a maioria.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Exemplo hipotético: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candidatos: A, B, C; 5 jurados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10101660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Primeira contagem: A=2, B=2, C=1 → C eliminado</w:t>
          </w:r>
        </w:sdtContent>
      </w:sdt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70567818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Voto de C vai para a segunda escolha do jurado que pôs C como primeira opção → nova contagem: A=3, B=2</w:t>
          </w:r>
        </w:sdtContent>
      </w:sdt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 a maioria e vence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Capítulo IV – Prémio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11.º – Valor e condições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prémio total é de 1000€.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pagamento será feito por etapas, mediante aprovação de despesas:</w:t>
      </w:r>
    </w:p>
    <w:p w:rsidR="00000000" w:rsidDel="00000000" w:rsidP="00000000" w:rsidRDefault="00000000" w:rsidRPr="00000000" w14:paraId="00000042">
      <w:pPr>
        <w:numPr>
          <w:ilvl w:val="1"/>
          <w:numId w:val="15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despesa deve ter uma justificação da sua adequação ao projeto</w:t>
      </w:r>
    </w:p>
    <w:p w:rsidR="00000000" w:rsidDel="00000000" w:rsidP="00000000" w:rsidRDefault="00000000" w:rsidRPr="00000000" w14:paraId="00000043">
      <w:pPr>
        <w:numPr>
          <w:ilvl w:val="1"/>
          <w:numId w:val="15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pagamento seguinte só ocorre após apresentação do comprovativo da despesa anterior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justificação de despesas e aprovação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comprovativos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devem ser feitas via </w:t>
      </w:r>
      <w:r w:rsidDel="00000000" w:rsidR="00000000" w:rsidRPr="00000000">
        <w:rPr>
          <w:rFonts w:ascii="Arial" w:cs="Arial" w:eastAsia="Arial" w:hAnsi="Arial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12.º – Incumprimento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o vencedor não cumpra os requisitos relativos às despesas, não receberá o remanescente do prémio.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Capítulo V – Disposições finais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13.º – Calendário do concurso</w:t>
      </w: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49"/>
        <w:gridCol w:w="4479"/>
        <w:tblGridChange w:id="0">
          <w:tblGrid>
            <w:gridCol w:w="4349"/>
            <w:gridCol w:w="44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Etapa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Fase 1 – candidatura inicial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maio – 30 junho 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Fase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– 15 julho 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Fase 2 – entrega dos requisitos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 – 31 julho 2026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Entrevista online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– 15 agosto 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Seleção curta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 – 31 agosto 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da curta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setembro – 15 dezembro 2026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14.º – Conteúdos e restrições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curta deve ser original e produzida com o apoio do prémio.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Serão excluídas candidaturas de curtas-metragens de caráter pornográfico.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15.º – Disposições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os candidatos aceitam o regulamento ao submeterem a candidatura.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casos omissos serão resolvidos pela organização, cujas decisões são definitivas e irrevogáveis.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Associação Amigos do Chapim reserva-se o direito de proceder a alterações das datas previstas no presente regulamento, em casos </w:t>
      </w:r>
      <w:r w:rsidDel="00000000" w:rsidR="00000000" w:rsidRPr="00000000">
        <w:rPr>
          <w:rFonts w:ascii="Arial" w:cs="Arial" w:eastAsia="Arial" w:hAnsi="Arial"/>
          <w:rtl w:val="0"/>
        </w:rPr>
        <w:t xml:space="preserve">excecionais</w:t>
      </w:r>
      <w:r w:rsidDel="00000000" w:rsidR="00000000" w:rsidRPr="00000000">
        <w:rPr>
          <w:rFonts w:ascii="Arial" w:cs="Arial" w:eastAsia="Arial" w:hAnsi="Arial"/>
          <w:rtl w:val="0"/>
        </w:rPr>
        <w:t xml:space="preserve"> e devidamente justificados, comprometendo-se a comunicar essas alterações atempadamente a todos os candidatos.</w:t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16.º – Acompanhamento da execução do projeto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acompanhamento do projeto será efetuado através de reuniões de acompanhamento, presenciais ou remotas, com vista à estruturação e execução do projeto. Estas reuniões deverão suceder periodicamente conforme acordado com a Associação Amigos do Chapim.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beneficiário/vencedor do concurso compromete-se a: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Cumprir o plano de execução apresentado;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 entidade promotora de quaisquer alterações relevantes;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Utilizar o apoio exclusivamente para os fins previstos;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Entregar a obra final dentro do prazo estabelecido, ou dentro do prazo da prorrogação estabelecida, caso necessária e previamente acordada com a entidade promotora;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Artigo 17.º – Propriedade intelectual e direitos de utilização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propriedade intelectual da curta-metragem pertence integralmente ao seu autor ou aos autores.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submeter a candidatura, o vencedor concede à Associação Amigos do Chapim uma licença não exclusiva, gratuita e por tempo indeterminado para: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Exibir a obra em sessões públicas, nomeadamente em auditórios, festivais ou eventos promovidos ou apoiados pela Associação;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Partilhar e divulgar a obra nas redes sociais e outros canais de comunicação da Associação, para fins de promoção cultural e institucional.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Associação compromete-se a identificar sempre a autoria da obra em qualquer contexto de divulgação ou exibição.</w:t>
      </w:r>
    </w:p>
    <w:p w:rsidR="00000000" w:rsidDel="00000000" w:rsidP="00000000" w:rsidRDefault="00000000" w:rsidRPr="00000000" w14:paraId="0000006F">
      <w:pPr>
        <w:spacing w:after="240" w:befor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077" w:hanging="360"/>
      </w:pPr>
      <w:rPr/>
    </w:lvl>
    <w:lvl w:ilvl="1">
      <w:start w:val="1"/>
      <w:numFmt w:val="lowerLetter"/>
      <w:lvlText w:val="%2."/>
      <w:lvlJc w:val="left"/>
      <w:pPr>
        <w:ind w:left="1797" w:hanging="360"/>
      </w:pPr>
      <w:rPr/>
    </w:lvl>
    <w:lvl w:ilvl="2">
      <w:start w:val="1"/>
      <w:numFmt w:val="lowerRoman"/>
      <w:lvlText w:val="%3."/>
      <w:lvlJc w:val="right"/>
      <w:pPr>
        <w:ind w:left="2517" w:hanging="180"/>
      </w:pPr>
      <w:rPr/>
    </w:lvl>
    <w:lvl w:ilvl="3">
      <w:start w:val="1"/>
      <w:numFmt w:val="decimal"/>
      <w:lvlText w:val="%4."/>
      <w:lvlJc w:val="left"/>
      <w:pPr>
        <w:ind w:left="3237" w:hanging="360"/>
      </w:pPr>
      <w:rPr/>
    </w:lvl>
    <w:lvl w:ilvl="4">
      <w:start w:val="1"/>
      <w:numFmt w:val="lowerLetter"/>
      <w:lvlText w:val="%5."/>
      <w:lvlJc w:val="left"/>
      <w:pPr>
        <w:ind w:left="3957" w:hanging="360"/>
      </w:pPr>
      <w:rPr/>
    </w:lvl>
    <w:lvl w:ilvl="5">
      <w:start w:val="1"/>
      <w:numFmt w:val="lowerRoman"/>
      <w:lvlText w:val="%6."/>
      <w:lvlJc w:val="right"/>
      <w:pPr>
        <w:ind w:left="4677" w:hanging="180"/>
      </w:pPr>
      <w:rPr/>
    </w:lvl>
    <w:lvl w:ilvl="6">
      <w:start w:val="1"/>
      <w:numFmt w:val="decimal"/>
      <w:lvlText w:val="%7."/>
      <w:lvlJc w:val="left"/>
      <w:pPr>
        <w:ind w:left="5397" w:hanging="360"/>
      </w:pPr>
      <w:rPr/>
    </w:lvl>
    <w:lvl w:ilvl="7">
      <w:start w:val="1"/>
      <w:numFmt w:val="lowerLetter"/>
      <w:lvlText w:val="%8."/>
      <w:lvlJc w:val="left"/>
      <w:pPr>
        <w:ind w:left="6117" w:hanging="360"/>
      </w:pPr>
      <w:rPr/>
    </w:lvl>
    <w:lvl w:ilvl="8">
      <w:start w:val="1"/>
      <w:numFmt w:val="lowerRoman"/>
      <w:lvlText w:val="%9."/>
      <w:lvlJc w:val="right"/>
      <w:pPr>
        <w:ind w:left="6837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411C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411C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411C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411C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411C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411C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411C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411C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411C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411C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411C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411C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411C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411C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411C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411C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411C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411C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411C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11C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411CA"/>
    <w:rPr>
      <w:b w:val="1"/>
      <w:bCs w:val="1"/>
      <w:smallCaps w:val="1"/>
      <w:color w:val="0f4761" w:themeColor="accent1" w:themeShade="0000BF"/>
      <w:spacing w:val="5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B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B4D7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4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B4D7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B4D70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39"/>
    <w:rsid w:val="00BF04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GS/eKGLVkstaTntPyMDh9XmAQ==">CgMxLjAaJAoBMBIfCh0IB0IZCgVBcmlhbBIQQXJpYWwgVW5pY29kZSBNUxokCgExEh8KHQgHQhkKBUFyaWFsEhBBcmlhbCBVbmljb2RlIE1TOAByITFnejlBaVFvNm9lMURoektLV3hOcUEwUnMxV29XcFl5QQ==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2026-03-17T21:37:00Z</dcterms:created>
  <dc:creator>Gonçalo Melo</dc:creator>
</cp:coreProperties>
</file>